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5C6A" w14:textId="06CBE041" w:rsidR="00ED653B" w:rsidRDefault="00943A48" w:rsidP="00B259AE">
      <w:pPr>
        <w:spacing w:after="0" w:line="240" w:lineRule="auto"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037257" wp14:editId="2F20BEFD">
            <wp:simplePos x="0" y="0"/>
            <wp:positionH relativeFrom="margin">
              <wp:posOffset>38100</wp:posOffset>
            </wp:positionH>
            <wp:positionV relativeFrom="margin">
              <wp:posOffset>-152400</wp:posOffset>
            </wp:positionV>
            <wp:extent cx="847725" cy="855980"/>
            <wp:effectExtent l="0" t="0" r="0" b="1270"/>
            <wp:wrapSquare wrapText="bothSides"/>
            <wp:docPr id="1" name="Picture 1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HEA logo-273new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61F">
        <w:rPr>
          <w:b/>
          <w:bCs/>
          <w:noProof/>
          <w:sz w:val="28"/>
          <w:szCs w:val="28"/>
        </w:rPr>
        <w:t>202</w:t>
      </w:r>
      <w:r w:rsidR="00ED653B">
        <w:rPr>
          <w:b/>
          <w:bCs/>
          <w:noProof/>
          <w:sz w:val="28"/>
          <w:szCs w:val="28"/>
        </w:rPr>
        <w:t>5</w:t>
      </w:r>
      <w:r w:rsidR="00B5461F">
        <w:rPr>
          <w:b/>
          <w:bCs/>
          <w:noProof/>
          <w:sz w:val="28"/>
          <w:szCs w:val="28"/>
        </w:rPr>
        <w:t xml:space="preserve"> August</w:t>
      </w:r>
      <w:r w:rsidR="0088506A">
        <w:rPr>
          <w:b/>
          <w:bCs/>
          <w:sz w:val="28"/>
          <w:szCs w:val="28"/>
        </w:rPr>
        <w:t xml:space="preserve"> </w:t>
      </w:r>
      <w:r w:rsidR="0097560D" w:rsidRPr="0097560D">
        <w:rPr>
          <w:b/>
          <w:bCs/>
          <w:sz w:val="28"/>
          <w:szCs w:val="28"/>
        </w:rPr>
        <w:t xml:space="preserve">FHEA </w:t>
      </w:r>
      <w:r w:rsidR="0088506A">
        <w:rPr>
          <w:b/>
          <w:bCs/>
          <w:sz w:val="28"/>
          <w:szCs w:val="28"/>
        </w:rPr>
        <w:t>Board</w:t>
      </w:r>
      <w:r w:rsidR="0097560D" w:rsidRPr="0097560D">
        <w:rPr>
          <w:b/>
          <w:bCs/>
          <w:sz w:val="28"/>
          <w:szCs w:val="28"/>
        </w:rPr>
        <w:t xml:space="preserve"> Meeting</w:t>
      </w:r>
    </w:p>
    <w:p w14:paraId="78CD0B59" w14:textId="7C7DF278" w:rsidR="00ED653B" w:rsidRDefault="0097560D" w:rsidP="00B259AE">
      <w:pPr>
        <w:spacing w:after="0" w:line="240" w:lineRule="auto"/>
        <w:jc w:val="right"/>
        <w:rPr>
          <w:b/>
          <w:bCs/>
          <w:sz w:val="28"/>
          <w:szCs w:val="28"/>
        </w:rPr>
      </w:pPr>
      <w:r w:rsidRPr="0097560D">
        <w:rPr>
          <w:b/>
          <w:bCs/>
          <w:sz w:val="28"/>
          <w:szCs w:val="28"/>
        </w:rPr>
        <w:t xml:space="preserve"> </w:t>
      </w:r>
      <w:r w:rsidR="00ED653B">
        <w:rPr>
          <w:b/>
          <w:bCs/>
          <w:sz w:val="28"/>
          <w:szCs w:val="28"/>
        </w:rPr>
        <w:t>Codes and Standards</w:t>
      </w:r>
      <w:r w:rsidR="00536D53">
        <w:rPr>
          <w:b/>
          <w:bCs/>
          <w:sz w:val="28"/>
          <w:szCs w:val="28"/>
        </w:rPr>
        <w:t xml:space="preserve"> Report</w:t>
      </w:r>
    </w:p>
    <w:p w14:paraId="50C23277" w14:textId="56543DA0" w:rsidR="0097560D" w:rsidRPr="0097560D" w:rsidRDefault="00ED653B" w:rsidP="00B259AE">
      <w:pPr>
        <w:spacing w:after="0" w:line="24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8/14/2025</w:t>
      </w:r>
    </w:p>
    <w:p w14:paraId="1943DE62" w14:textId="7F288438" w:rsidR="00943A48" w:rsidRDefault="00943A48" w:rsidP="00B259AE">
      <w:pPr>
        <w:rPr>
          <w:b/>
          <w:bCs/>
          <w:sz w:val="28"/>
          <w:szCs w:val="28"/>
        </w:rPr>
      </w:pPr>
    </w:p>
    <w:p w14:paraId="5416A82E" w14:textId="77777777" w:rsidR="00B259AE" w:rsidRPr="00B259AE" w:rsidRDefault="00B259AE" w:rsidP="00B259AE">
      <w:p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1. Code &amp; Standards Updates</w:t>
      </w:r>
    </w:p>
    <w:p w14:paraId="043ED444" w14:textId="77777777" w:rsidR="00B259AE" w:rsidRPr="00B259AE" w:rsidRDefault="00B259AE" w:rsidP="00B259AE">
      <w:pPr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Joint Commission Physical Environment (PE) Chapter:</w:t>
      </w:r>
      <w:r w:rsidRPr="00B259AE">
        <w:rPr>
          <w:rFonts w:ascii="Arial" w:hAnsi="Arial" w:cs="Arial"/>
          <w:bCs/>
          <w:sz w:val="24"/>
          <w:szCs w:val="24"/>
        </w:rPr>
        <w:t xml:space="preserve"> Effective </w:t>
      </w:r>
      <w:r w:rsidRPr="00B259AE">
        <w:rPr>
          <w:rFonts w:ascii="Arial" w:hAnsi="Arial" w:cs="Arial"/>
          <w:b/>
          <w:bCs/>
          <w:sz w:val="24"/>
          <w:szCs w:val="24"/>
        </w:rPr>
        <w:t>Jan. 1, 2026</w:t>
      </w:r>
      <w:r w:rsidRPr="00B259AE">
        <w:rPr>
          <w:rFonts w:ascii="Arial" w:hAnsi="Arial" w:cs="Arial"/>
          <w:bCs/>
          <w:sz w:val="24"/>
          <w:szCs w:val="24"/>
        </w:rPr>
        <w:t>, the Environment of Care and Life Safety chapters will merge into a single “Physical Environment” chapter for hospitals and critical access hospitals. This consolidation aligns with CMS Conditions of Participation and eliminates more than 700 redundant/obsolete EPs.</w:t>
      </w:r>
    </w:p>
    <w:p w14:paraId="7961E93A" w14:textId="77777777" w:rsidR="00B259AE" w:rsidRPr="00B259AE" w:rsidRDefault="00B259AE" w:rsidP="00B259AE">
      <w:pPr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Workplace Violence Prevention Requirements:</w:t>
      </w:r>
      <w:r w:rsidRPr="00B259A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B259AE">
        <w:rPr>
          <w:rFonts w:ascii="Arial" w:hAnsi="Arial" w:cs="Arial"/>
          <w:bCs/>
          <w:sz w:val="24"/>
          <w:szCs w:val="24"/>
        </w:rPr>
        <w:t>Also</w:t>
      </w:r>
      <w:proofErr w:type="gramEnd"/>
      <w:r w:rsidRPr="00B259AE">
        <w:rPr>
          <w:rFonts w:ascii="Arial" w:hAnsi="Arial" w:cs="Arial"/>
          <w:bCs/>
          <w:sz w:val="24"/>
          <w:szCs w:val="24"/>
        </w:rPr>
        <w:t xml:space="preserve"> effective </w:t>
      </w:r>
      <w:r w:rsidRPr="00B259AE">
        <w:rPr>
          <w:rFonts w:ascii="Arial" w:hAnsi="Arial" w:cs="Arial"/>
          <w:b/>
          <w:bCs/>
          <w:sz w:val="24"/>
          <w:szCs w:val="24"/>
        </w:rPr>
        <w:t>Jan. 1, 2026</w:t>
      </w:r>
      <w:r w:rsidRPr="00B259AE">
        <w:rPr>
          <w:rFonts w:ascii="Arial" w:hAnsi="Arial" w:cs="Arial"/>
          <w:bCs/>
          <w:sz w:val="24"/>
          <w:szCs w:val="24"/>
        </w:rPr>
        <w:t>, current requirements spread across EC, Leadership, and HR will be consolidated into the new “National Performance Goals” chapter under Goal 2: fostering a culture of safety. This will include more structured policy, reporting, and training requirements.</w:t>
      </w:r>
    </w:p>
    <w:p w14:paraId="3C3D3C93" w14:textId="77777777" w:rsidR="00B259AE" w:rsidRPr="00B259AE" w:rsidRDefault="00B259AE" w:rsidP="00B259AE">
      <w:pPr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Life Safety Code® Surveyor Expansion:</w:t>
      </w:r>
      <w:r w:rsidRPr="00B259AE">
        <w:rPr>
          <w:rFonts w:ascii="Arial" w:hAnsi="Arial" w:cs="Arial"/>
          <w:bCs/>
          <w:sz w:val="24"/>
          <w:szCs w:val="24"/>
        </w:rPr>
        <w:t xml:space="preserve"> As of </w:t>
      </w:r>
      <w:r w:rsidRPr="00B259AE">
        <w:rPr>
          <w:rFonts w:ascii="Arial" w:hAnsi="Arial" w:cs="Arial"/>
          <w:b/>
          <w:bCs/>
          <w:sz w:val="24"/>
          <w:szCs w:val="24"/>
        </w:rPr>
        <w:t>June 30, 2025</w:t>
      </w:r>
      <w:r w:rsidRPr="00B259AE">
        <w:rPr>
          <w:rFonts w:ascii="Arial" w:hAnsi="Arial" w:cs="Arial"/>
          <w:bCs/>
          <w:sz w:val="24"/>
          <w:szCs w:val="24"/>
        </w:rPr>
        <w:t>, Life Safety surveyors can now visit on-site and off-site general outpatient locations during deemed status surveys.</w:t>
      </w:r>
    </w:p>
    <w:p w14:paraId="14499977" w14:textId="77777777" w:rsidR="00B259AE" w:rsidRPr="00B259AE" w:rsidRDefault="00B259AE" w:rsidP="00B259AE">
      <w:p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2. New Requirements / Guidance</w:t>
      </w:r>
    </w:p>
    <w:p w14:paraId="66911756" w14:textId="77777777" w:rsidR="00B259AE" w:rsidRPr="00B259AE" w:rsidRDefault="00B259AE" w:rsidP="00B259AE">
      <w:pPr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Surgical Fire Prevention:</w:t>
      </w:r>
      <w:r w:rsidRPr="00B259AE">
        <w:rPr>
          <w:rFonts w:ascii="Arial" w:hAnsi="Arial" w:cs="Arial"/>
          <w:bCs/>
          <w:sz w:val="24"/>
          <w:szCs w:val="24"/>
        </w:rPr>
        <w:t xml:space="preserve"> Joint Commission reiterates the need for annual OR-specific fire drills, risk assessments, and staff training on extinguishers, oxidizer control, and evacuation procedures.</w:t>
      </w:r>
    </w:p>
    <w:p w14:paraId="165D5849" w14:textId="77777777" w:rsidR="00B259AE" w:rsidRPr="00B259AE" w:rsidRDefault="00B259AE" w:rsidP="00B259AE">
      <w:p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3. Florida Life Safety Code Adoption</w:t>
      </w:r>
    </w:p>
    <w:p w14:paraId="161096E7" w14:textId="77777777" w:rsidR="00B259AE" w:rsidRPr="00B259AE" w:rsidRDefault="00B259AE" w:rsidP="00B259AE">
      <w:pPr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Cs/>
          <w:sz w:val="24"/>
          <w:szCs w:val="24"/>
        </w:rPr>
        <w:t xml:space="preserve">Florida adopted </w:t>
      </w:r>
      <w:r w:rsidRPr="00B259AE">
        <w:rPr>
          <w:rFonts w:ascii="Arial" w:hAnsi="Arial" w:cs="Arial"/>
          <w:b/>
          <w:bCs/>
          <w:sz w:val="24"/>
          <w:szCs w:val="24"/>
        </w:rPr>
        <w:t>NFPA 101-2021</w:t>
      </w:r>
      <w:r w:rsidRPr="00B259AE">
        <w:rPr>
          <w:rFonts w:ascii="Arial" w:hAnsi="Arial" w:cs="Arial"/>
          <w:bCs/>
          <w:sz w:val="24"/>
          <w:szCs w:val="24"/>
        </w:rPr>
        <w:t xml:space="preserve"> as part of the </w:t>
      </w:r>
      <w:r w:rsidRPr="00B259AE">
        <w:rPr>
          <w:rFonts w:ascii="Arial" w:hAnsi="Arial" w:cs="Arial"/>
          <w:b/>
          <w:bCs/>
          <w:sz w:val="24"/>
          <w:szCs w:val="24"/>
        </w:rPr>
        <w:t>Florida Fire Prevention Code</w:t>
      </w:r>
      <w:r w:rsidRPr="00B259AE">
        <w:rPr>
          <w:rFonts w:ascii="Arial" w:hAnsi="Arial" w:cs="Arial"/>
          <w:bCs/>
          <w:sz w:val="24"/>
          <w:szCs w:val="24"/>
        </w:rPr>
        <w:t xml:space="preserve">, effective </w:t>
      </w:r>
      <w:r w:rsidRPr="00B259AE">
        <w:rPr>
          <w:rFonts w:ascii="Arial" w:hAnsi="Arial" w:cs="Arial"/>
          <w:b/>
          <w:bCs/>
          <w:sz w:val="24"/>
          <w:szCs w:val="24"/>
        </w:rPr>
        <w:t>December 31, 2023</w:t>
      </w:r>
      <w:r w:rsidRPr="00B259AE">
        <w:rPr>
          <w:rFonts w:ascii="Arial" w:hAnsi="Arial" w:cs="Arial"/>
          <w:bCs/>
          <w:sz w:val="24"/>
          <w:szCs w:val="24"/>
        </w:rPr>
        <w:t>.</w:t>
      </w:r>
    </w:p>
    <w:p w14:paraId="1579E01B" w14:textId="77777777" w:rsidR="00B259AE" w:rsidRPr="00B259AE" w:rsidRDefault="00B259AE" w:rsidP="00B259AE">
      <w:pPr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Cs/>
          <w:sz w:val="24"/>
          <w:szCs w:val="24"/>
        </w:rPr>
        <w:t xml:space="preserve">Under </w:t>
      </w:r>
      <w:r w:rsidRPr="00B259AE">
        <w:rPr>
          <w:rFonts w:ascii="Arial" w:hAnsi="Arial" w:cs="Arial"/>
          <w:b/>
          <w:bCs/>
          <w:sz w:val="24"/>
          <w:szCs w:val="24"/>
        </w:rPr>
        <w:t>Chapter 633.202, Florida Statutes</w:t>
      </w:r>
      <w:r w:rsidRPr="00B259AE">
        <w:rPr>
          <w:rFonts w:ascii="Arial" w:hAnsi="Arial" w:cs="Arial"/>
          <w:bCs/>
          <w:sz w:val="24"/>
          <w:szCs w:val="24"/>
        </w:rPr>
        <w:t xml:space="preserve">, the Florida State Fire Marshal updates the code on a three-year cycle. The </w:t>
      </w:r>
      <w:r w:rsidRPr="00B259AE">
        <w:rPr>
          <w:rFonts w:ascii="Arial" w:hAnsi="Arial" w:cs="Arial"/>
          <w:b/>
          <w:bCs/>
          <w:sz w:val="24"/>
          <w:szCs w:val="24"/>
        </w:rPr>
        <w:t>2024 edition</w:t>
      </w:r>
      <w:r w:rsidRPr="00B259AE">
        <w:rPr>
          <w:rFonts w:ascii="Arial" w:hAnsi="Arial" w:cs="Arial"/>
          <w:bCs/>
          <w:sz w:val="24"/>
          <w:szCs w:val="24"/>
        </w:rPr>
        <w:t xml:space="preserve"> is expected to become effective </w:t>
      </w:r>
      <w:r w:rsidRPr="00B259AE">
        <w:rPr>
          <w:rFonts w:ascii="Arial" w:hAnsi="Arial" w:cs="Arial"/>
          <w:b/>
          <w:bCs/>
          <w:sz w:val="24"/>
          <w:szCs w:val="24"/>
        </w:rPr>
        <w:t>December 31, 2026</w:t>
      </w:r>
      <w:r w:rsidRPr="00B259AE">
        <w:rPr>
          <w:rFonts w:ascii="Arial" w:hAnsi="Arial" w:cs="Arial"/>
          <w:bCs/>
          <w:sz w:val="24"/>
          <w:szCs w:val="24"/>
        </w:rPr>
        <w:t>, pending rulemaking.</w:t>
      </w:r>
    </w:p>
    <w:p w14:paraId="7F972A85" w14:textId="77777777" w:rsidR="00B259AE" w:rsidRPr="00B259AE" w:rsidRDefault="00B259AE" w:rsidP="00B259AE">
      <w:p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4. Recent Member Communications</w:t>
      </w:r>
    </w:p>
    <w:p w14:paraId="654731CA" w14:textId="77777777" w:rsidR="00B259AE" w:rsidRPr="00B259AE" w:rsidRDefault="00B259AE" w:rsidP="00B259AE">
      <w:pPr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Cs/>
          <w:sz w:val="24"/>
          <w:szCs w:val="24"/>
        </w:rPr>
        <w:t xml:space="preserve">Published an article in </w:t>
      </w:r>
      <w:r w:rsidRPr="00B259AE">
        <w:rPr>
          <w:rFonts w:ascii="Arial" w:hAnsi="Arial" w:cs="Arial"/>
          <w:bCs/>
          <w:i/>
          <w:iCs/>
          <w:sz w:val="24"/>
          <w:szCs w:val="24"/>
        </w:rPr>
        <w:t>The Whistle</w:t>
      </w:r>
      <w:r w:rsidRPr="00B259AE">
        <w:rPr>
          <w:rFonts w:ascii="Arial" w:hAnsi="Arial" w:cs="Arial"/>
          <w:bCs/>
          <w:sz w:val="24"/>
          <w:szCs w:val="24"/>
        </w:rPr>
        <w:t xml:space="preserve"> comparing the </w:t>
      </w:r>
      <w:r w:rsidRPr="00B259AE">
        <w:rPr>
          <w:rFonts w:ascii="Arial" w:hAnsi="Arial" w:cs="Arial"/>
          <w:b/>
          <w:bCs/>
          <w:sz w:val="24"/>
          <w:szCs w:val="24"/>
        </w:rPr>
        <w:t>NFPA 101-2012</w:t>
      </w:r>
      <w:r w:rsidRPr="00B259AE">
        <w:rPr>
          <w:rFonts w:ascii="Arial" w:hAnsi="Arial" w:cs="Arial"/>
          <w:bCs/>
          <w:sz w:val="24"/>
          <w:szCs w:val="24"/>
        </w:rPr>
        <w:t xml:space="preserve"> (CMS) and </w:t>
      </w:r>
      <w:r w:rsidRPr="00B259AE">
        <w:rPr>
          <w:rFonts w:ascii="Arial" w:hAnsi="Arial" w:cs="Arial"/>
          <w:b/>
          <w:bCs/>
          <w:sz w:val="24"/>
          <w:szCs w:val="24"/>
        </w:rPr>
        <w:t>NFPA 101-2021</w:t>
      </w:r>
      <w:r w:rsidRPr="00B259AE">
        <w:rPr>
          <w:rFonts w:ascii="Arial" w:hAnsi="Arial" w:cs="Arial"/>
          <w:bCs/>
          <w:sz w:val="24"/>
          <w:szCs w:val="24"/>
        </w:rPr>
        <w:t xml:space="preserve"> (AHCA) codes, providing members with practical insights on key differences and compliance considerations.</w:t>
      </w:r>
    </w:p>
    <w:p w14:paraId="774E0DC9" w14:textId="77777777" w:rsidR="00B259AE" w:rsidRPr="00B259AE" w:rsidRDefault="00B259AE" w:rsidP="00B259AE">
      <w:p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/>
          <w:bCs/>
          <w:sz w:val="24"/>
          <w:szCs w:val="24"/>
        </w:rPr>
        <w:t>5. AHCA Fire Extinguisher Discussion</w:t>
      </w:r>
    </w:p>
    <w:p w14:paraId="0873DE72" w14:textId="77777777" w:rsidR="00B259AE" w:rsidRPr="00B259AE" w:rsidRDefault="00B259AE" w:rsidP="00B259AE">
      <w:pPr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Cs/>
          <w:sz w:val="24"/>
          <w:szCs w:val="24"/>
        </w:rPr>
        <w:t xml:space="preserve">Met with AHCA to review extinguisher use in operating rooms. AHCA confirmed they will </w:t>
      </w:r>
      <w:r w:rsidRPr="00B259AE">
        <w:rPr>
          <w:rFonts w:ascii="Arial" w:hAnsi="Arial" w:cs="Arial"/>
          <w:b/>
          <w:bCs/>
          <w:sz w:val="24"/>
          <w:szCs w:val="24"/>
        </w:rPr>
        <w:t>not cite CO</w:t>
      </w:r>
      <w:r w:rsidRPr="00B259AE">
        <w:rPr>
          <w:rFonts w:ascii="Cambria Math" w:hAnsi="Cambria Math" w:cs="Cambria Math"/>
          <w:b/>
          <w:bCs/>
          <w:sz w:val="24"/>
          <w:szCs w:val="24"/>
        </w:rPr>
        <w:t>₂</w:t>
      </w:r>
      <w:r w:rsidRPr="00B259AE">
        <w:rPr>
          <w:rFonts w:ascii="Arial" w:hAnsi="Arial" w:cs="Arial"/>
          <w:b/>
          <w:bCs/>
          <w:sz w:val="24"/>
          <w:szCs w:val="24"/>
        </w:rPr>
        <w:t xml:space="preserve"> or water mist extinguishers</w:t>
      </w:r>
      <w:r w:rsidRPr="00B259AE">
        <w:rPr>
          <w:rFonts w:ascii="Arial" w:hAnsi="Arial" w:cs="Arial"/>
          <w:bCs/>
          <w:sz w:val="24"/>
          <w:szCs w:val="24"/>
        </w:rPr>
        <w:t xml:space="preserve"> in ORs, aligning with NFPA 99 definitions.</w:t>
      </w:r>
    </w:p>
    <w:p w14:paraId="602969CB" w14:textId="77777777" w:rsidR="00B259AE" w:rsidRPr="00B259AE" w:rsidRDefault="00B259AE" w:rsidP="00B259AE">
      <w:pPr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Cs/>
          <w:sz w:val="24"/>
          <w:szCs w:val="24"/>
        </w:rPr>
        <w:lastRenderedPageBreak/>
        <w:t>They will, however, require compliance with NFPA 99-2012 16.14: hazard assessment, fire procedures, and training/drill documentation.</w:t>
      </w:r>
    </w:p>
    <w:p w14:paraId="2FCC7B4C" w14:textId="77777777" w:rsidR="00B259AE" w:rsidRPr="00B259AE" w:rsidRDefault="00B259AE" w:rsidP="00B259AE">
      <w:pPr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proofErr w:type="gramStart"/>
      <w:r w:rsidRPr="00B259AE">
        <w:rPr>
          <w:rFonts w:ascii="Arial" w:hAnsi="Arial" w:cs="Arial"/>
          <w:bCs/>
          <w:sz w:val="24"/>
          <w:szCs w:val="24"/>
        </w:rPr>
        <w:t>Follow</w:t>
      </w:r>
      <w:proofErr w:type="gramEnd"/>
      <w:r w:rsidRPr="00B259AE">
        <w:rPr>
          <w:rFonts w:ascii="Arial" w:hAnsi="Arial" w:cs="Arial"/>
          <w:bCs/>
          <w:sz w:val="24"/>
          <w:szCs w:val="24"/>
        </w:rPr>
        <w:t xml:space="preserve">-up response was sent </w:t>
      </w:r>
      <w:r w:rsidRPr="00B259AE">
        <w:rPr>
          <w:rFonts w:ascii="Arial" w:hAnsi="Arial" w:cs="Arial"/>
          <w:b/>
          <w:bCs/>
          <w:sz w:val="24"/>
          <w:szCs w:val="24"/>
        </w:rPr>
        <w:t>8/14/25</w:t>
      </w:r>
      <w:r w:rsidRPr="00B259AE">
        <w:rPr>
          <w:rFonts w:ascii="Arial" w:hAnsi="Arial" w:cs="Arial"/>
          <w:bCs/>
          <w:sz w:val="24"/>
          <w:szCs w:val="24"/>
        </w:rPr>
        <w:t>. A guidance draft for members is in development.</w:t>
      </w:r>
    </w:p>
    <w:p w14:paraId="05BF347A" w14:textId="77777777" w:rsidR="00B5461F" w:rsidRPr="00B259AE" w:rsidRDefault="00B5461F" w:rsidP="00536D53">
      <w:pPr>
        <w:rPr>
          <w:rFonts w:ascii="Arial" w:hAnsi="Arial" w:cs="Arial"/>
          <w:bCs/>
          <w:sz w:val="24"/>
          <w:szCs w:val="24"/>
        </w:rPr>
      </w:pPr>
    </w:p>
    <w:p w14:paraId="625C5F27" w14:textId="7B7DF783" w:rsidR="00FC1E6B" w:rsidRPr="00B259AE" w:rsidRDefault="00FC1E6B" w:rsidP="00536D53">
      <w:p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Cs/>
          <w:sz w:val="24"/>
          <w:szCs w:val="24"/>
        </w:rPr>
        <w:t>Respectfully Submitted,</w:t>
      </w:r>
    </w:p>
    <w:p w14:paraId="1681982A" w14:textId="0F798738" w:rsidR="00FC1E6B" w:rsidRPr="00B259AE" w:rsidRDefault="00ED653B" w:rsidP="00536D53">
      <w:p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Cs/>
          <w:sz w:val="24"/>
          <w:szCs w:val="24"/>
        </w:rPr>
        <w:t>Tony Echazabal</w:t>
      </w:r>
      <w:r w:rsidR="00D7081E" w:rsidRPr="00B259AE">
        <w:rPr>
          <w:rFonts w:ascii="Arial" w:hAnsi="Arial" w:cs="Arial"/>
          <w:bCs/>
          <w:sz w:val="24"/>
          <w:szCs w:val="24"/>
        </w:rPr>
        <w:t>,</w:t>
      </w:r>
      <w:r w:rsidR="00FC1E6B" w:rsidRPr="00B259AE">
        <w:rPr>
          <w:rFonts w:ascii="Arial" w:hAnsi="Arial" w:cs="Arial"/>
          <w:bCs/>
          <w:sz w:val="24"/>
          <w:szCs w:val="24"/>
        </w:rPr>
        <w:t xml:space="preserve"> </w:t>
      </w:r>
      <w:r w:rsidRPr="00B259AE">
        <w:rPr>
          <w:rFonts w:ascii="Arial" w:hAnsi="Arial" w:cs="Arial"/>
          <w:bCs/>
          <w:sz w:val="24"/>
          <w:szCs w:val="24"/>
        </w:rPr>
        <w:t xml:space="preserve">RA, </w:t>
      </w:r>
      <w:r w:rsidR="00FC1E6B" w:rsidRPr="00B259AE">
        <w:rPr>
          <w:rFonts w:ascii="Arial" w:hAnsi="Arial" w:cs="Arial"/>
          <w:bCs/>
          <w:sz w:val="24"/>
          <w:szCs w:val="24"/>
        </w:rPr>
        <w:t xml:space="preserve">CHFM, </w:t>
      </w:r>
      <w:r w:rsidRPr="00B259AE">
        <w:rPr>
          <w:rFonts w:ascii="Arial" w:hAnsi="Arial" w:cs="Arial"/>
          <w:bCs/>
          <w:sz w:val="24"/>
          <w:szCs w:val="24"/>
        </w:rPr>
        <w:t xml:space="preserve">CHSP, </w:t>
      </w:r>
      <w:r w:rsidR="00FC1E6B" w:rsidRPr="00B259AE">
        <w:rPr>
          <w:rFonts w:ascii="Arial" w:hAnsi="Arial" w:cs="Arial"/>
          <w:bCs/>
          <w:sz w:val="24"/>
          <w:szCs w:val="24"/>
        </w:rPr>
        <w:t>CHE</w:t>
      </w:r>
    </w:p>
    <w:p w14:paraId="61F22A34" w14:textId="558F732A" w:rsidR="00FC1E6B" w:rsidRPr="00B259AE" w:rsidRDefault="00ED653B" w:rsidP="00536D53">
      <w:pPr>
        <w:rPr>
          <w:rFonts w:ascii="Arial" w:hAnsi="Arial" w:cs="Arial"/>
          <w:bCs/>
          <w:sz w:val="24"/>
          <w:szCs w:val="24"/>
        </w:rPr>
      </w:pPr>
      <w:r w:rsidRPr="00B259AE">
        <w:rPr>
          <w:rFonts w:ascii="Arial" w:hAnsi="Arial" w:cs="Arial"/>
          <w:bCs/>
          <w:sz w:val="24"/>
          <w:szCs w:val="24"/>
        </w:rPr>
        <w:t>Codes and Standards</w:t>
      </w:r>
      <w:r w:rsidR="00FC1E6B" w:rsidRPr="00B259AE">
        <w:rPr>
          <w:rFonts w:ascii="Arial" w:hAnsi="Arial" w:cs="Arial"/>
          <w:bCs/>
          <w:sz w:val="24"/>
          <w:szCs w:val="24"/>
        </w:rPr>
        <w:t xml:space="preserve"> Chair</w:t>
      </w:r>
    </w:p>
    <w:p w14:paraId="2F33CFD1" w14:textId="77777777" w:rsidR="00FC1E6B" w:rsidRPr="00B259AE" w:rsidRDefault="00FC1E6B" w:rsidP="00536D53">
      <w:pPr>
        <w:rPr>
          <w:rFonts w:ascii="Arial" w:hAnsi="Arial" w:cs="Arial"/>
          <w:bCs/>
          <w:sz w:val="24"/>
          <w:szCs w:val="24"/>
        </w:rPr>
      </w:pPr>
    </w:p>
    <w:sectPr w:rsidR="00FC1E6B" w:rsidRPr="00B259AE" w:rsidSect="004F3A40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B4505"/>
    <w:multiLevelType w:val="multilevel"/>
    <w:tmpl w:val="26D4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51FEE"/>
    <w:multiLevelType w:val="hybridMultilevel"/>
    <w:tmpl w:val="CA3CE04C"/>
    <w:lvl w:ilvl="0" w:tplc="A8BCA3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3684E"/>
    <w:multiLevelType w:val="multilevel"/>
    <w:tmpl w:val="795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F0306"/>
    <w:multiLevelType w:val="multilevel"/>
    <w:tmpl w:val="3A5C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764355"/>
    <w:multiLevelType w:val="multilevel"/>
    <w:tmpl w:val="C8E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A359D"/>
    <w:multiLevelType w:val="multilevel"/>
    <w:tmpl w:val="0BB4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8585642">
    <w:abstractNumId w:val="2"/>
  </w:num>
  <w:num w:numId="2" w16cid:durableId="1532838130">
    <w:abstractNumId w:val="0"/>
  </w:num>
  <w:num w:numId="3" w16cid:durableId="1233929719">
    <w:abstractNumId w:val="3"/>
  </w:num>
  <w:num w:numId="4" w16cid:durableId="1129661897">
    <w:abstractNumId w:val="5"/>
  </w:num>
  <w:num w:numId="5" w16cid:durableId="408771238">
    <w:abstractNumId w:val="6"/>
  </w:num>
  <w:num w:numId="6" w16cid:durableId="856237098">
    <w:abstractNumId w:val="4"/>
  </w:num>
  <w:num w:numId="7" w16cid:durableId="1351645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60D"/>
    <w:rsid w:val="000B42A1"/>
    <w:rsid w:val="001B2F3C"/>
    <w:rsid w:val="00251DFB"/>
    <w:rsid w:val="002A35E8"/>
    <w:rsid w:val="002F192D"/>
    <w:rsid w:val="004707BC"/>
    <w:rsid w:val="004F3A40"/>
    <w:rsid w:val="00536D53"/>
    <w:rsid w:val="005A2413"/>
    <w:rsid w:val="005E4BF7"/>
    <w:rsid w:val="00735ED9"/>
    <w:rsid w:val="007415E5"/>
    <w:rsid w:val="0079131A"/>
    <w:rsid w:val="0088506A"/>
    <w:rsid w:val="008E1EEE"/>
    <w:rsid w:val="00932F5F"/>
    <w:rsid w:val="00943A48"/>
    <w:rsid w:val="0097560D"/>
    <w:rsid w:val="009E7713"/>
    <w:rsid w:val="00A02668"/>
    <w:rsid w:val="00B01572"/>
    <w:rsid w:val="00B259AE"/>
    <w:rsid w:val="00B5461F"/>
    <w:rsid w:val="00BB46F9"/>
    <w:rsid w:val="00BD6DD3"/>
    <w:rsid w:val="00C33FB8"/>
    <w:rsid w:val="00C51EAA"/>
    <w:rsid w:val="00C94581"/>
    <w:rsid w:val="00CA1510"/>
    <w:rsid w:val="00D7081E"/>
    <w:rsid w:val="00DD7E14"/>
    <w:rsid w:val="00EB722F"/>
    <w:rsid w:val="00ED653B"/>
    <w:rsid w:val="00EE7926"/>
    <w:rsid w:val="00F07379"/>
    <w:rsid w:val="00F41DE5"/>
    <w:rsid w:val="00F7716A"/>
    <w:rsid w:val="00FC1E6B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0EC46"/>
  <w15:chartTrackingRefBased/>
  <w15:docId w15:val="{37E440D9-1D7C-4237-B158-95F69E88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6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13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5461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5461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Streeper</dc:creator>
  <cp:keywords/>
  <dc:description/>
  <cp:lastModifiedBy>Echazabal, Tony</cp:lastModifiedBy>
  <cp:revision>2</cp:revision>
  <cp:lastPrinted>2021-12-06T14:20:00Z</cp:lastPrinted>
  <dcterms:created xsi:type="dcterms:W3CDTF">2025-08-14T17:38:00Z</dcterms:created>
  <dcterms:modified xsi:type="dcterms:W3CDTF">2025-08-14T17:38:00Z</dcterms:modified>
</cp:coreProperties>
</file>